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44" w:rsidRPr="00024E1B" w:rsidRDefault="000D4E44" w:rsidP="00024E1B">
      <w:pPr>
        <w:tabs>
          <w:tab w:val="left" w:pos="8370"/>
        </w:tabs>
        <w:spacing w:before="120" w:after="120" w:line="288" w:lineRule="auto"/>
        <w:jc w:val="center"/>
        <w:rPr>
          <w:rFonts w:ascii="Times New Roman" w:hAnsi="Times New Roman"/>
          <w:b/>
          <w:sz w:val="25"/>
          <w:szCs w:val="25"/>
        </w:rPr>
      </w:pPr>
      <w:r w:rsidRPr="00024E1B">
        <w:rPr>
          <w:rFonts w:ascii="Times New Roman" w:hAnsi="Times New Roman"/>
          <w:b/>
          <w:sz w:val="25"/>
          <w:szCs w:val="25"/>
        </w:rPr>
        <w:t>NỘI DUNG GỢI Ý GÓP Ý DỰ THẢO THÔNG TƯ</w:t>
      </w:r>
    </w:p>
    <w:p w:rsidR="000D4E44" w:rsidRPr="00024E1B" w:rsidRDefault="000D4E44" w:rsidP="00024E1B">
      <w:pPr>
        <w:tabs>
          <w:tab w:val="left" w:pos="8415"/>
        </w:tabs>
        <w:spacing w:before="120" w:after="120" w:line="288" w:lineRule="auto"/>
        <w:jc w:val="center"/>
        <w:rPr>
          <w:rFonts w:ascii="Times New Roman" w:hAnsi="Times New Roman"/>
          <w:b/>
          <w:sz w:val="25"/>
          <w:szCs w:val="25"/>
        </w:rPr>
      </w:pPr>
      <w:proofErr w:type="spellStart"/>
      <w:r w:rsidRPr="00024E1B">
        <w:rPr>
          <w:rFonts w:ascii="Times New Roman" w:hAnsi="Times New Roman"/>
          <w:b/>
          <w:sz w:val="25"/>
          <w:szCs w:val="25"/>
        </w:rPr>
        <w:t>Quy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định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việc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proofErr w:type="gramStart"/>
      <w:r w:rsidRPr="00024E1B">
        <w:rPr>
          <w:rFonts w:ascii="Times New Roman" w:hAnsi="Times New Roman"/>
          <w:b/>
          <w:sz w:val="25"/>
          <w:szCs w:val="25"/>
        </w:rPr>
        <w:t>thu</w:t>
      </w:r>
      <w:proofErr w:type="spellEnd"/>
      <w:proofErr w:type="gram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hồi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và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xử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lý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thực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phẩm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không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đảm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bảo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an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toàn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thuộc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thẩm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quyền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quản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lý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của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Bộ Y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tế</w:t>
      </w:r>
      <w:proofErr w:type="spellEnd"/>
    </w:p>
    <w:p w:rsidR="000D4E44" w:rsidRPr="00024E1B" w:rsidRDefault="000D4E44" w:rsidP="00024E1B">
      <w:pPr>
        <w:tabs>
          <w:tab w:val="left" w:pos="8415"/>
        </w:tabs>
        <w:spacing w:before="120" w:after="120" w:line="288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0D4E44" w:rsidRPr="00024E1B" w:rsidRDefault="000D4E44" w:rsidP="00024E1B">
      <w:pPr>
        <w:tabs>
          <w:tab w:val="left" w:pos="8415"/>
        </w:tabs>
        <w:spacing w:before="120" w:after="120" w:line="288" w:lineRule="auto"/>
        <w:ind w:firstLine="8190"/>
        <w:rPr>
          <w:rFonts w:ascii="Times New Roman" w:hAnsi="Times New Roman"/>
          <w:b/>
          <w:sz w:val="25"/>
          <w:szCs w:val="25"/>
        </w:rPr>
      </w:pPr>
      <w:proofErr w:type="spellStart"/>
      <w:r w:rsidRPr="00024E1B">
        <w:rPr>
          <w:rFonts w:ascii="Times New Roman" w:hAnsi="Times New Roman"/>
          <w:b/>
          <w:sz w:val="25"/>
          <w:szCs w:val="25"/>
        </w:rPr>
        <w:t>Đơn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vị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góp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ý: ……………………………………………………</w:t>
      </w:r>
    </w:p>
    <w:p w:rsidR="000D4E44" w:rsidRPr="00024E1B" w:rsidRDefault="000D4E44" w:rsidP="00024E1B">
      <w:pPr>
        <w:tabs>
          <w:tab w:val="left" w:pos="9840"/>
        </w:tabs>
        <w:spacing w:before="120" w:after="120" w:line="288" w:lineRule="auto"/>
        <w:rPr>
          <w:rFonts w:ascii="Times New Roman" w:hAnsi="Times New Roman"/>
          <w:b/>
          <w:sz w:val="25"/>
          <w:szCs w:val="25"/>
        </w:rPr>
      </w:pPr>
      <w:proofErr w:type="spellStart"/>
      <w:r w:rsidRPr="00024E1B">
        <w:rPr>
          <w:rFonts w:ascii="Times New Roman" w:hAnsi="Times New Roman"/>
          <w:b/>
          <w:sz w:val="25"/>
          <w:szCs w:val="25"/>
        </w:rPr>
        <w:t>Góp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ý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có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thể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tập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trung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(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nhưng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không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giới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hạn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)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vào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các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vấn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đề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sau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>:</w:t>
      </w:r>
      <w:r w:rsidRPr="00024E1B">
        <w:rPr>
          <w:rFonts w:ascii="Times New Roman" w:hAnsi="Times New Roman"/>
          <w:b/>
          <w:sz w:val="25"/>
          <w:szCs w:val="25"/>
        </w:rPr>
        <w:tab/>
      </w:r>
    </w:p>
    <w:p w:rsidR="000D4E44" w:rsidRPr="00024E1B" w:rsidRDefault="000D4E44" w:rsidP="00024E1B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1080"/>
        </w:tabs>
        <w:spacing w:before="120" w:after="120" w:line="288" w:lineRule="auto"/>
        <w:ind w:left="0" w:firstLine="0"/>
        <w:jc w:val="both"/>
        <w:rPr>
          <w:rFonts w:ascii="Times New Roman" w:eastAsia="Times New Roman" w:hAnsi="Times New Roman"/>
          <w:sz w:val="25"/>
          <w:szCs w:val="25"/>
        </w:rPr>
      </w:pP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Các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nội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dung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quy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định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có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b/>
          <w:sz w:val="25"/>
          <w:szCs w:val="25"/>
          <w:u w:val="single"/>
        </w:rPr>
        <w:t>hợp</w:t>
      </w:r>
      <w:proofErr w:type="spellEnd"/>
      <w:r w:rsidRPr="00024E1B">
        <w:rPr>
          <w:rFonts w:ascii="Times New Roman" w:eastAsia="Times New Roman" w:hAnsi="Times New Roman"/>
          <w:b/>
          <w:sz w:val="25"/>
          <w:szCs w:val="25"/>
          <w:u w:val="single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b/>
          <w:sz w:val="25"/>
          <w:szCs w:val="25"/>
          <w:u w:val="single"/>
        </w:rPr>
        <w:t>lý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không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,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nếu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không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,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vui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lòng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nêu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lý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do;</w:t>
      </w:r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Các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vấn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đề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khác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dự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kiến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phát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sinh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b/>
          <w:sz w:val="25"/>
          <w:szCs w:val="25"/>
          <w:u w:val="single"/>
        </w:rPr>
        <w:t>vướng</w:t>
      </w:r>
      <w:proofErr w:type="spellEnd"/>
      <w:r w:rsidRPr="00024E1B">
        <w:rPr>
          <w:rFonts w:ascii="Times New Roman" w:eastAsia="Times New Roman" w:hAnsi="Times New Roman"/>
          <w:b/>
          <w:sz w:val="25"/>
          <w:szCs w:val="25"/>
          <w:u w:val="single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b/>
          <w:sz w:val="25"/>
          <w:szCs w:val="25"/>
          <w:u w:val="single"/>
        </w:rPr>
        <w:t>mắc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khi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văn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bản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được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triển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khai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thực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hiện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>;</w:t>
      </w:r>
    </w:p>
    <w:p w:rsidR="000D4E44" w:rsidRPr="00024E1B" w:rsidRDefault="000D4E44" w:rsidP="00024E1B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1080"/>
        </w:tabs>
        <w:spacing w:before="120" w:after="120" w:line="288" w:lineRule="auto"/>
        <w:ind w:left="360"/>
        <w:jc w:val="both"/>
        <w:rPr>
          <w:rFonts w:ascii="Times New Roman" w:eastAsia="Times New Roman" w:hAnsi="Times New Roman"/>
          <w:sz w:val="25"/>
          <w:szCs w:val="25"/>
        </w:rPr>
      </w:pPr>
      <w:proofErr w:type="spellStart"/>
      <w:r w:rsidRPr="00024E1B">
        <w:rPr>
          <w:rFonts w:ascii="Times New Roman" w:eastAsia="Times New Roman" w:hAnsi="Times New Roman"/>
          <w:b/>
          <w:sz w:val="25"/>
          <w:szCs w:val="25"/>
          <w:u w:val="single"/>
        </w:rPr>
        <w:t>Đề</w:t>
      </w:r>
      <w:proofErr w:type="spellEnd"/>
      <w:r w:rsidRPr="00024E1B">
        <w:rPr>
          <w:rFonts w:ascii="Times New Roman" w:eastAsia="Times New Roman" w:hAnsi="Times New Roman"/>
          <w:b/>
          <w:sz w:val="25"/>
          <w:szCs w:val="25"/>
          <w:u w:val="single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b/>
          <w:sz w:val="25"/>
          <w:szCs w:val="25"/>
          <w:u w:val="single"/>
        </w:rPr>
        <w:t>xuất</w:t>
      </w:r>
      <w:proofErr w:type="spellEnd"/>
      <w:r w:rsidRPr="00024E1B">
        <w:rPr>
          <w:rFonts w:ascii="Times New Roman" w:eastAsia="Times New Roman" w:hAnsi="Times New Roman"/>
          <w:b/>
          <w:sz w:val="25"/>
          <w:szCs w:val="25"/>
          <w:u w:val="single"/>
        </w:rPr>
        <w:t xml:space="preserve">, </w:t>
      </w:r>
      <w:proofErr w:type="spellStart"/>
      <w:r w:rsidRPr="00024E1B">
        <w:rPr>
          <w:rFonts w:ascii="Times New Roman" w:eastAsia="Times New Roman" w:hAnsi="Times New Roman"/>
          <w:b/>
          <w:sz w:val="25"/>
          <w:szCs w:val="25"/>
          <w:u w:val="single"/>
        </w:rPr>
        <w:t>kiến</w:t>
      </w:r>
      <w:proofErr w:type="spellEnd"/>
      <w:r w:rsidRPr="00024E1B">
        <w:rPr>
          <w:rFonts w:ascii="Times New Roman" w:eastAsia="Times New Roman" w:hAnsi="Times New Roman"/>
          <w:b/>
          <w:sz w:val="25"/>
          <w:szCs w:val="25"/>
          <w:u w:val="single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b/>
          <w:sz w:val="25"/>
          <w:szCs w:val="25"/>
          <w:u w:val="single"/>
        </w:rPr>
        <w:t>nghị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nhằm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hoàn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thiện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các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quy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định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chưa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phù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eastAsia="Times New Roman" w:hAnsi="Times New Roman"/>
          <w:sz w:val="25"/>
          <w:szCs w:val="25"/>
        </w:rPr>
        <w:t>hợp</w:t>
      </w:r>
      <w:proofErr w:type="spellEnd"/>
      <w:r w:rsidRPr="00024E1B">
        <w:rPr>
          <w:rFonts w:ascii="Times New Roman" w:eastAsia="Times New Roman" w:hAnsi="Times New Roman"/>
          <w:sz w:val="25"/>
          <w:szCs w:val="25"/>
        </w:rPr>
        <w:t>.</w:t>
      </w:r>
    </w:p>
    <w:p w:rsidR="000D4E44" w:rsidRPr="00024E1B" w:rsidRDefault="000D4E44" w:rsidP="00024E1B">
      <w:pPr>
        <w:tabs>
          <w:tab w:val="left" w:pos="1080"/>
        </w:tabs>
        <w:spacing w:before="120" w:after="120" w:line="288" w:lineRule="auto"/>
        <w:jc w:val="both"/>
        <w:rPr>
          <w:rFonts w:ascii="Times New Roman" w:hAnsi="Times New Roman"/>
          <w:b/>
          <w:sz w:val="25"/>
          <w:szCs w:val="25"/>
        </w:rPr>
      </w:pPr>
      <w:proofErr w:type="spellStart"/>
      <w:r w:rsidRPr="00024E1B">
        <w:rPr>
          <w:rFonts w:ascii="Times New Roman" w:hAnsi="Times New Roman"/>
          <w:b/>
          <w:sz w:val="25"/>
          <w:szCs w:val="25"/>
        </w:rPr>
        <w:t>Phương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thức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góp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ý: </w:t>
      </w:r>
      <w:proofErr w:type="spellStart"/>
      <w:proofErr w:type="gramStart"/>
      <w:r w:rsidRPr="00024E1B">
        <w:rPr>
          <w:rFonts w:ascii="Times New Roman" w:hAnsi="Times New Roman"/>
          <w:b/>
          <w:sz w:val="25"/>
          <w:szCs w:val="25"/>
          <w:u w:val="single"/>
        </w:rPr>
        <w:t>theo</w:t>
      </w:r>
      <w:proofErr w:type="spellEnd"/>
      <w:proofErr w:type="gramEnd"/>
      <w:r w:rsidRPr="00024E1B">
        <w:rPr>
          <w:rFonts w:ascii="Times New Roman" w:hAnsi="Times New Roman"/>
          <w:b/>
          <w:sz w:val="25"/>
          <w:szCs w:val="25"/>
          <w:u w:val="single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  <w:u w:val="single"/>
        </w:rPr>
        <w:t>đường</w:t>
      </w:r>
      <w:proofErr w:type="spellEnd"/>
      <w:r w:rsidRPr="00024E1B">
        <w:rPr>
          <w:rFonts w:ascii="Times New Roman" w:hAnsi="Times New Roman"/>
          <w:b/>
          <w:sz w:val="25"/>
          <w:szCs w:val="25"/>
          <w:u w:val="single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  <w:u w:val="single"/>
        </w:rPr>
        <w:t>Công</w:t>
      </w:r>
      <w:proofErr w:type="spellEnd"/>
      <w:r w:rsidRPr="00024E1B">
        <w:rPr>
          <w:rFonts w:ascii="Times New Roman" w:hAnsi="Times New Roman"/>
          <w:b/>
          <w:sz w:val="25"/>
          <w:szCs w:val="25"/>
          <w:u w:val="single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  <w:u w:val="single"/>
        </w:rPr>
        <w:t>văn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hoặc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điền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vào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mẫu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dưới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b/>
          <w:sz w:val="25"/>
          <w:szCs w:val="25"/>
        </w:rPr>
        <w:t>đây</w:t>
      </w:r>
      <w:proofErr w:type="spellEnd"/>
      <w:r w:rsidRPr="00024E1B">
        <w:rPr>
          <w:rFonts w:ascii="Times New Roman" w:hAnsi="Times New Roman"/>
          <w:b/>
          <w:sz w:val="25"/>
          <w:szCs w:val="25"/>
        </w:rPr>
        <w:t xml:space="preserve">. </w:t>
      </w:r>
    </w:p>
    <w:p w:rsidR="000D4E44" w:rsidRPr="00024E1B" w:rsidRDefault="000D4E44" w:rsidP="00024E1B">
      <w:pPr>
        <w:tabs>
          <w:tab w:val="left" w:pos="90"/>
          <w:tab w:val="left" w:pos="1080"/>
        </w:tabs>
        <w:spacing w:before="120" w:after="120" w:line="288" w:lineRule="auto"/>
        <w:rPr>
          <w:rFonts w:ascii="Times New Roman" w:hAnsi="Times New Roman"/>
          <w:sz w:val="25"/>
          <w:szCs w:val="25"/>
        </w:rPr>
      </w:pPr>
      <w:proofErr w:type="spellStart"/>
      <w:r w:rsidRPr="00024E1B">
        <w:rPr>
          <w:rFonts w:ascii="Times New Roman" w:hAnsi="Times New Roman"/>
          <w:sz w:val="25"/>
          <w:szCs w:val="25"/>
        </w:rPr>
        <w:t>Để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sz w:val="25"/>
          <w:szCs w:val="25"/>
        </w:rPr>
        <w:t>góp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ý </w:t>
      </w:r>
      <w:proofErr w:type="spellStart"/>
      <w:r w:rsidRPr="00024E1B">
        <w:rPr>
          <w:rFonts w:ascii="Times New Roman" w:hAnsi="Times New Roman"/>
          <w:sz w:val="25"/>
          <w:szCs w:val="25"/>
        </w:rPr>
        <w:t>được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sz w:val="25"/>
          <w:szCs w:val="25"/>
        </w:rPr>
        <w:t>đầy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sz w:val="25"/>
          <w:szCs w:val="25"/>
        </w:rPr>
        <w:t>đủ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sz w:val="25"/>
          <w:szCs w:val="25"/>
        </w:rPr>
        <w:t>và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sz w:val="25"/>
          <w:szCs w:val="25"/>
        </w:rPr>
        <w:t>chính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sz w:val="25"/>
          <w:szCs w:val="25"/>
        </w:rPr>
        <w:t>xác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024E1B">
        <w:rPr>
          <w:rFonts w:ascii="Times New Roman" w:hAnsi="Times New Roman"/>
          <w:sz w:val="25"/>
          <w:szCs w:val="25"/>
        </w:rPr>
        <w:t>rất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sz w:val="25"/>
          <w:szCs w:val="25"/>
        </w:rPr>
        <w:t>mong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sz w:val="25"/>
          <w:szCs w:val="25"/>
        </w:rPr>
        <w:t>Quý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sz w:val="25"/>
          <w:szCs w:val="25"/>
        </w:rPr>
        <w:t>Doanh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sz w:val="25"/>
          <w:szCs w:val="25"/>
        </w:rPr>
        <w:t>nghiệp</w:t>
      </w:r>
      <w:proofErr w:type="spellEnd"/>
      <w:r w:rsidRPr="00024E1B">
        <w:rPr>
          <w:rFonts w:ascii="Times New Roman" w:hAnsi="Times New Roman"/>
          <w:sz w:val="25"/>
          <w:szCs w:val="25"/>
        </w:rPr>
        <w:t>/</w:t>
      </w:r>
      <w:proofErr w:type="spellStart"/>
      <w:r w:rsidRPr="00024E1B">
        <w:rPr>
          <w:rFonts w:ascii="Times New Roman" w:hAnsi="Times New Roman"/>
          <w:sz w:val="25"/>
          <w:szCs w:val="25"/>
        </w:rPr>
        <w:t>Hiệp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sz w:val="25"/>
          <w:szCs w:val="25"/>
        </w:rPr>
        <w:t>hội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proofErr w:type="gramStart"/>
      <w:r w:rsidRPr="00024E1B">
        <w:rPr>
          <w:rFonts w:ascii="Times New Roman" w:hAnsi="Times New Roman"/>
          <w:sz w:val="25"/>
          <w:szCs w:val="25"/>
        </w:rPr>
        <w:t>theo</w:t>
      </w:r>
      <w:proofErr w:type="spellEnd"/>
      <w:proofErr w:type="gram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sz w:val="25"/>
          <w:szCs w:val="25"/>
        </w:rPr>
        <w:t>dõi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sz w:val="25"/>
          <w:szCs w:val="25"/>
        </w:rPr>
        <w:t>toàn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sz w:val="25"/>
          <w:szCs w:val="25"/>
        </w:rPr>
        <w:t>văn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sz w:val="25"/>
          <w:szCs w:val="25"/>
        </w:rPr>
        <w:t>Dự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sz w:val="25"/>
          <w:szCs w:val="25"/>
        </w:rPr>
        <w:t>thảo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sz w:val="25"/>
          <w:szCs w:val="25"/>
        </w:rPr>
        <w:t>và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sz w:val="25"/>
          <w:szCs w:val="25"/>
        </w:rPr>
        <w:t>Tờ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sz w:val="25"/>
          <w:szCs w:val="25"/>
        </w:rPr>
        <w:t>trình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sz w:val="25"/>
          <w:szCs w:val="25"/>
        </w:rPr>
        <w:t>trên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website </w:t>
      </w:r>
      <w:proofErr w:type="spellStart"/>
      <w:r w:rsidRPr="00024E1B">
        <w:rPr>
          <w:rFonts w:ascii="Times New Roman" w:hAnsi="Times New Roman"/>
          <w:sz w:val="25"/>
          <w:szCs w:val="25"/>
        </w:rPr>
        <w:t>của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VCCI </w:t>
      </w:r>
      <w:proofErr w:type="spellStart"/>
      <w:r w:rsidRPr="00024E1B">
        <w:rPr>
          <w:rFonts w:ascii="Times New Roman" w:hAnsi="Times New Roman"/>
          <w:sz w:val="25"/>
          <w:szCs w:val="25"/>
        </w:rPr>
        <w:t>tại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sz w:val="25"/>
          <w:szCs w:val="25"/>
        </w:rPr>
        <w:t>địa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sz w:val="25"/>
          <w:szCs w:val="25"/>
        </w:rPr>
        <w:t>chỉ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: www.vibonline.com.vn - </w:t>
      </w:r>
      <w:proofErr w:type="spellStart"/>
      <w:r w:rsidRPr="00024E1B">
        <w:rPr>
          <w:rFonts w:ascii="Times New Roman" w:hAnsi="Times New Roman"/>
          <w:sz w:val="25"/>
          <w:szCs w:val="25"/>
        </w:rPr>
        <w:t>Mục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sz w:val="25"/>
          <w:szCs w:val="25"/>
        </w:rPr>
        <w:t>Dự</w:t>
      </w:r>
      <w:proofErr w:type="spellEnd"/>
      <w:r w:rsidRPr="00024E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E1B">
        <w:rPr>
          <w:rFonts w:ascii="Times New Roman" w:hAnsi="Times New Roman"/>
          <w:sz w:val="25"/>
          <w:szCs w:val="25"/>
        </w:rPr>
        <w:t>thảo</w:t>
      </w:r>
      <w:proofErr w:type="spellEnd"/>
      <w:r w:rsidRPr="00024E1B">
        <w:rPr>
          <w:rFonts w:ascii="Times New Roman" w:hAnsi="Times New Roman"/>
          <w:sz w:val="25"/>
          <w:szCs w:val="25"/>
        </w:rPr>
        <w:t>.</w:t>
      </w:r>
    </w:p>
    <w:p w:rsidR="000D4E44" w:rsidRPr="00024E1B" w:rsidRDefault="000D4E44" w:rsidP="00024E1B">
      <w:pPr>
        <w:tabs>
          <w:tab w:val="left" w:pos="90"/>
          <w:tab w:val="left" w:pos="1080"/>
        </w:tabs>
        <w:spacing w:before="120" w:after="120" w:line="288" w:lineRule="auto"/>
        <w:rPr>
          <w:rFonts w:ascii="Times New Roman" w:hAnsi="Times New Roman"/>
          <w:sz w:val="25"/>
          <w:szCs w:val="25"/>
        </w:rPr>
      </w:pP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9340"/>
        <w:gridCol w:w="3979"/>
        <w:tblGridChange w:id="0">
          <w:tblGrid>
            <w:gridCol w:w="2665"/>
            <w:gridCol w:w="9340"/>
            <w:gridCol w:w="3979"/>
          </w:tblGrid>
        </w:tblGridChange>
      </w:tblGrid>
      <w:tr w:rsidR="000D4E44" w:rsidRPr="00024E1B" w:rsidTr="00AF565A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0D4E44" w:rsidRPr="00024E1B" w:rsidRDefault="000D4E44" w:rsidP="00024E1B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VẤN ĐỀ</w:t>
            </w:r>
          </w:p>
        </w:tc>
        <w:tc>
          <w:tcPr>
            <w:tcW w:w="9340" w:type="dxa"/>
            <w:shd w:val="clear" w:color="auto" w:fill="auto"/>
            <w:vAlign w:val="center"/>
          </w:tcPr>
          <w:p w:rsidR="000D4E44" w:rsidRPr="00024E1B" w:rsidRDefault="000D4E44" w:rsidP="00024E1B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NỘI DUNG DỰ THẢO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0D4E44" w:rsidRPr="00024E1B" w:rsidRDefault="000D4E44" w:rsidP="00024E1B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Ý KIẾN GÓP Ý</w:t>
            </w:r>
          </w:p>
          <w:p w:rsidR="000D4E44" w:rsidRPr="00024E1B" w:rsidRDefault="000D4E44" w:rsidP="00024E1B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Đồng</w:t>
            </w:r>
            <w:proofErr w:type="spellEnd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ý/ </w:t>
            </w: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không</w:t>
            </w:r>
            <w:proofErr w:type="spellEnd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đồng</w:t>
            </w:r>
            <w:proofErr w:type="spellEnd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ý? </w:t>
            </w: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Lý</w:t>
            </w:r>
            <w:proofErr w:type="spellEnd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do?)</w:t>
            </w:r>
          </w:p>
        </w:tc>
      </w:tr>
      <w:tr w:rsidR="000D4E44" w:rsidRPr="00024E1B" w:rsidTr="000941F5">
        <w:trPr>
          <w:trHeight w:val="1247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0D4E44" w:rsidRPr="00024E1B" w:rsidRDefault="000D4E44" w:rsidP="00024E1B">
            <w:pPr>
              <w:pStyle w:val="ListParagraph"/>
              <w:numPr>
                <w:ilvl w:val="0"/>
                <w:numId w:val="2"/>
              </w:numPr>
              <w:tabs>
                <w:tab w:val="left" w:pos="341"/>
              </w:tabs>
              <w:spacing w:before="120" w:after="120" w:line="288" w:lineRule="auto"/>
              <w:ind w:left="5" w:firstLine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Phạ</w:t>
            </w:r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m</w:t>
            </w:r>
            <w:proofErr w:type="spellEnd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vi </w:t>
            </w: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điều</w:t>
            </w:r>
            <w:proofErr w:type="spellEnd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chỉnh</w:t>
            </w:r>
            <w:proofErr w:type="spellEnd"/>
          </w:p>
        </w:tc>
        <w:tc>
          <w:tcPr>
            <w:tcW w:w="9340" w:type="dxa"/>
            <w:shd w:val="clear" w:color="auto" w:fill="auto"/>
          </w:tcPr>
          <w:p w:rsidR="000D4E44" w:rsidRPr="00024E1B" w:rsidRDefault="00DC3B80" w:rsidP="00024E1B">
            <w:pPr>
              <w:numPr>
                <w:ilvl w:val="0"/>
                <w:numId w:val="1"/>
              </w:numPr>
              <w:spacing w:before="120" w:after="120" w:line="288" w:lineRule="auto"/>
              <w:ind w:left="34"/>
              <w:jc w:val="both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Văn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bản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này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quy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định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trình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tự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thủ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tục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trách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nhiệm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thu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hồi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và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xử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lý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sau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thu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hồi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đối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với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thực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phẩm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phụ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gia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thực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phẩm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chất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hỗ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trợ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chế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biến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thực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phẩm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dụng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cụ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vật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liệu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bao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gói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chứa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đựng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thực</w:t>
            </w:r>
            <w:proofErr w:type="spellEnd"/>
            <w:r w:rsidR="000941F5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sz w:val="25"/>
                <w:szCs w:val="25"/>
              </w:rPr>
              <w:t>phẩm</w:t>
            </w:r>
            <w:proofErr w:type="spellEnd"/>
          </w:p>
        </w:tc>
        <w:tc>
          <w:tcPr>
            <w:tcW w:w="3979" w:type="dxa"/>
            <w:shd w:val="clear" w:color="auto" w:fill="auto"/>
          </w:tcPr>
          <w:p w:rsidR="000D4E44" w:rsidRPr="00024E1B" w:rsidRDefault="000D4E44" w:rsidP="00024E1B">
            <w:pPr>
              <w:spacing w:before="120" w:after="120" w:line="288" w:lineRule="auto"/>
              <w:rPr>
                <w:rFonts w:ascii="Times New Roman" w:hAnsi="Times New Roman"/>
                <w:sz w:val="25"/>
                <w:szCs w:val="25"/>
                <w:lang w:val="vi-VN"/>
              </w:rPr>
            </w:pPr>
          </w:p>
        </w:tc>
      </w:tr>
      <w:tr w:rsidR="000D4E44" w:rsidRPr="00024E1B" w:rsidTr="00AF565A">
        <w:trPr>
          <w:trHeight w:val="707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0941F5" w:rsidRPr="00024E1B" w:rsidRDefault="000D4E44" w:rsidP="00024E1B">
            <w:pPr>
              <w:widowControl w:val="0"/>
              <w:spacing w:before="120" w:after="120" w:line="288" w:lineRule="auto"/>
              <w:ind w:firstLine="72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24E1B">
              <w:rPr>
                <w:rFonts w:ascii="Times New Roman" w:hAnsi="Times New Roman"/>
                <w:b/>
                <w:sz w:val="25"/>
                <w:szCs w:val="25"/>
                <w:lang w:val="vi-VN"/>
              </w:rPr>
              <w:t xml:space="preserve">2. </w:t>
            </w:r>
            <w:proofErr w:type="spellStart"/>
            <w:r w:rsidR="000941F5" w:rsidRPr="00024E1B">
              <w:rPr>
                <w:rFonts w:ascii="Times New Roman" w:hAnsi="Times New Roman"/>
                <w:b/>
                <w:sz w:val="25"/>
                <w:szCs w:val="25"/>
              </w:rPr>
              <w:t>Hình</w:t>
            </w:r>
            <w:proofErr w:type="spellEnd"/>
            <w:r w:rsidR="000941F5"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b/>
                <w:sz w:val="25"/>
                <w:szCs w:val="25"/>
              </w:rPr>
              <w:t>thức</w:t>
            </w:r>
            <w:proofErr w:type="spellEnd"/>
            <w:r w:rsidR="000941F5"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b/>
                <w:sz w:val="25"/>
                <w:szCs w:val="25"/>
              </w:rPr>
              <w:t>thu</w:t>
            </w:r>
            <w:proofErr w:type="spellEnd"/>
            <w:r w:rsidR="000941F5"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b/>
                <w:sz w:val="25"/>
                <w:szCs w:val="25"/>
              </w:rPr>
              <w:t>hồi</w:t>
            </w:r>
            <w:proofErr w:type="spellEnd"/>
            <w:r w:rsidR="000941F5"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="000941F5" w:rsidRPr="00024E1B">
              <w:rPr>
                <w:rFonts w:ascii="Times New Roman" w:hAnsi="Times New Roman"/>
                <w:b/>
                <w:sz w:val="25"/>
                <w:szCs w:val="25"/>
              </w:rPr>
              <w:t>Điều</w:t>
            </w:r>
            <w:proofErr w:type="spellEnd"/>
            <w:r w:rsidR="000941F5"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2)</w:t>
            </w:r>
          </w:p>
          <w:p w:rsidR="000D4E44" w:rsidRPr="00024E1B" w:rsidRDefault="000D4E44" w:rsidP="00024E1B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val="vi-VN"/>
              </w:rPr>
            </w:pPr>
          </w:p>
        </w:tc>
        <w:tc>
          <w:tcPr>
            <w:tcW w:w="9340" w:type="dxa"/>
            <w:shd w:val="clear" w:color="auto" w:fill="auto"/>
          </w:tcPr>
          <w:p w:rsidR="000941F5" w:rsidRPr="00024E1B" w:rsidRDefault="000941F5" w:rsidP="00024E1B">
            <w:pPr>
              <w:pStyle w:val="ListParagraph"/>
              <w:widowControl w:val="0"/>
              <w:numPr>
                <w:ilvl w:val="0"/>
                <w:numId w:val="3"/>
              </w:numPr>
              <w:spacing w:before="120" w:after="120" w:line="288" w:lineRule="auto"/>
              <w:ind w:left="40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Thu </w:t>
            </w: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hồi</w:t>
            </w:r>
            <w:proofErr w:type="spellEnd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tự</w:t>
            </w:r>
            <w:proofErr w:type="spellEnd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nguyện</w:t>
            </w:r>
            <w:proofErr w:type="spellEnd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:</w:t>
            </w:r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Tổ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chức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cá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nhân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chịu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trách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nhiệm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về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sản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phẩm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phát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hiện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sản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phẩm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Cs/>
                <w:sz w:val="25"/>
                <w:szCs w:val="25"/>
              </w:rPr>
              <w:t>không</w:t>
            </w:r>
            <w:proofErr w:type="spellEnd"/>
            <w:r w:rsidRPr="00024E1B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Cs/>
                <w:sz w:val="25"/>
                <w:szCs w:val="25"/>
              </w:rPr>
              <w:t>bảo</w:t>
            </w:r>
            <w:proofErr w:type="spellEnd"/>
            <w:r w:rsidRPr="00024E1B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Cs/>
                <w:sz w:val="25"/>
                <w:szCs w:val="25"/>
              </w:rPr>
              <w:t>đảm</w:t>
            </w:r>
            <w:proofErr w:type="spellEnd"/>
            <w:r w:rsidRPr="00024E1B">
              <w:rPr>
                <w:rFonts w:ascii="Times New Roman" w:hAnsi="Times New Roman"/>
                <w:bCs/>
                <w:sz w:val="25"/>
                <w:szCs w:val="25"/>
              </w:rPr>
              <w:t xml:space="preserve"> an </w:t>
            </w:r>
            <w:proofErr w:type="spellStart"/>
            <w:r w:rsidRPr="00024E1B">
              <w:rPr>
                <w:rFonts w:ascii="Times New Roman" w:hAnsi="Times New Roman"/>
                <w:bCs/>
                <w:sz w:val="25"/>
                <w:szCs w:val="25"/>
              </w:rPr>
              <w:t>toàn</w:t>
            </w:r>
            <w:proofErr w:type="spellEnd"/>
            <w:r w:rsidRPr="00024E1B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Cs/>
                <w:sz w:val="25"/>
                <w:szCs w:val="25"/>
              </w:rPr>
              <w:t>tự</w:t>
            </w:r>
            <w:proofErr w:type="spellEnd"/>
            <w:r w:rsidRPr="00024E1B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thực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hiện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024E1B">
              <w:rPr>
                <w:rFonts w:ascii="Times New Roman" w:hAnsi="Times New Roman"/>
                <w:sz w:val="25"/>
                <w:szCs w:val="25"/>
              </w:rPr>
              <w:t>thu</w:t>
            </w:r>
            <w:proofErr w:type="spellEnd"/>
            <w:proofErr w:type="gram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hồi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sản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phẩm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theo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quy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định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tại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Điều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4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của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Thông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tư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này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0D4E44" w:rsidRPr="00024E1B" w:rsidRDefault="000941F5" w:rsidP="00024E1B">
            <w:pPr>
              <w:pStyle w:val="ListParagraph"/>
              <w:widowControl w:val="0"/>
              <w:numPr>
                <w:ilvl w:val="0"/>
                <w:numId w:val="3"/>
              </w:numPr>
              <w:spacing w:before="120" w:after="120" w:line="288" w:lineRule="auto"/>
              <w:ind w:left="40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Thu </w:t>
            </w: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hồi</w:t>
            </w:r>
            <w:proofErr w:type="spellEnd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bắt</w:t>
            </w:r>
            <w:proofErr w:type="spellEnd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buộc</w:t>
            </w:r>
            <w:proofErr w:type="spellEnd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:</w:t>
            </w:r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Cơ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quan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nhà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nước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có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thẩm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quyền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yêu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cầu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tổ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chức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cá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nhân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024E1B">
              <w:rPr>
                <w:rFonts w:ascii="Times New Roman" w:hAnsi="Times New Roman"/>
                <w:sz w:val="25"/>
                <w:szCs w:val="25"/>
              </w:rPr>
              <w:t>thu</w:t>
            </w:r>
            <w:proofErr w:type="spellEnd"/>
            <w:proofErr w:type="gram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hồi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sản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phẩm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không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bảo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đảm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an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toàn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theo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quy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định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tại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Điều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5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của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Thông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tư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này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979" w:type="dxa"/>
            <w:shd w:val="clear" w:color="auto" w:fill="auto"/>
          </w:tcPr>
          <w:p w:rsidR="000D4E44" w:rsidRPr="00024E1B" w:rsidRDefault="000D4E44" w:rsidP="00024E1B">
            <w:pPr>
              <w:spacing w:before="120" w:after="120" w:line="288" w:lineRule="auto"/>
              <w:rPr>
                <w:rFonts w:ascii="Times New Roman" w:hAnsi="Times New Roman"/>
                <w:sz w:val="25"/>
                <w:szCs w:val="25"/>
                <w:lang w:val="sv-SE"/>
              </w:rPr>
            </w:pPr>
          </w:p>
        </w:tc>
      </w:tr>
      <w:tr w:rsidR="000D4E44" w:rsidRPr="00024E1B" w:rsidTr="00AF565A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0D4E44" w:rsidRPr="00024E1B" w:rsidRDefault="000D4E44" w:rsidP="00024E1B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val="sv-SE"/>
              </w:rPr>
            </w:pPr>
            <w:r w:rsidRPr="00024E1B">
              <w:rPr>
                <w:rFonts w:ascii="Times New Roman" w:hAnsi="Times New Roman"/>
                <w:b/>
                <w:bCs/>
                <w:sz w:val="25"/>
                <w:szCs w:val="25"/>
                <w:lang w:val="sv-SE"/>
              </w:rPr>
              <w:t>3.</w:t>
            </w:r>
            <w:r w:rsidR="000941F5" w:rsidRPr="00024E1B">
              <w:rPr>
                <w:rFonts w:ascii="Times New Roman" w:hAnsi="Times New Roman"/>
                <w:b/>
                <w:bCs/>
                <w:sz w:val="25"/>
                <w:szCs w:val="25"/>
                <w:lang w:val="sv-SE"/>
              </w:rPr>
              <w:t>Trình tự t</w:t>
            </w:r>
            <w:r w:rsidR="000941F5" w:rsidRPr="00024E1B">
              <w:rPr>
                <w:rFonts w:ascii="Times New Roman" w:hAnsi="Times New Roman"/>
                <w:b/>
                <w:sz w:val="25"/>
                <w:szCs w:val="25"/>
                <w:lang w:val="vi-VN"/>
              </w:rPr>
              <w:t>hu hồi</w:t>
            </w:r>
            <w:r w:rsidR="000941F5"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b/>
                <w:sz w:val="25"/>
                <w:szCs w:val="25"/>
              </w:rPr>
              <w:t>tự</w:t>
            </w:r>
            <w:proofErr w:type="spellEnd"/>
            <w:r w:rsidR="000941F5"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0941F5" w:rsidRPr="00024E1B">
              <w:rPr>
                <w:rFonts w:ascii="Times New Roman" w:hAnsi="Times New Roman"/>
                <w:b/>
                <w:sz w:val="25"/>
                <w:szCs w:val="25"/>
              </w:rPr>
              <w:t>nguyện</w:t>
            </w:r>
            <w:proofErr w:type="spellEnd"/>
            <w:r w:rsidR="00423637"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="00423637" w:rsidRPr="00024E1B">
              <w:rPr>
                <w:rFonts w:ascii="Times New Roman" w:hAnsi="Times New Roman"/>
                <w:b/>
                <w:sz w:val="25"/>
                <w:szCs w:val="25"/>
              </w:rPr>
              <w:t>Điều</w:t>
            </w:r>
            <w:proofErr w:type="spellEnd"/>
            <w:r w:rsidR="00423637"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4)</w:t>
            </w:r>
          </w:p>
        </w:tc>
        <w:tc>
          <w:tcPr>
            <w:tcW w:w="9340" w:type="dxa"/>
            <w:shd w:val="clear" w:color="auto" w:fill="auto"/>
          </w:tcPr>
          <w:p w:rsidR="00423637" w:rsidRPr="00024E1B" w:rsidRDefault="00423637" w:rsidP="00024E1B">
            <w:pPr>
              <w:widowControl w:val="0"/>
              <w:tabs>
                <w:tab w:val="left" w:pos="1134"/>
              </w:tabs>
              <w:spacing w:before="120" w:after="120" w:line="288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Bước</w:t>
            </w:r>
            <w:proofErr w:type="spellEnd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1:</w:t>
            </w:r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Ngay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lập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tức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thông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báo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tới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toàn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hệ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thống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sản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xuất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kinh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doanh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(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nhà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máy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sản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xuất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các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kênh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phân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phối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đại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lý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cửa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hàng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)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dừng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ngay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lưu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thông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đồng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thời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tiến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hành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niêm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phong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sản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phẩm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423637" w:rsidRPr="00024E1B" w:rsidRDefault="00423637" w:rsidP="00024E1B">
            <w:pPr>
              <w:widowControl w:val="0"/>
              <w:tabs>
                <w:tab w:val="left" w:pos="1134"/>
              </w:tabs>
              <w:spacing w:before="120" w:after="120" w:line="288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Bước</w:t>
            </w:r>
            <w:proofErr w:type="spellEnd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2:</w:t>
            </w:r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Trong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vòng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01</w:t>
            </w:r>
            <w:r w:rsid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ngày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làm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kể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từ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khi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phát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hiện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sản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phẩm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không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bảo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đảm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an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toàn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tổ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chức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cá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nhân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chịu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trách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nhiệm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về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sản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phẩm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phải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ra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thông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báo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kèm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theo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kế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hoạch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hồi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sản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phẩm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tới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toàn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hệ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thống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sản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xuất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kinh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doanh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sản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phẩm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và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cơ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quan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có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thẩm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quyền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. </w:t>
            </w:r>
          </w:p>
          <w:p w:rsidR="00423637" w:rsidRPr="00024E1B" w:rsidRDefault="00423637" w:rsidP="00024E1B">
            <w:pPr>
              <w:widowControl w:val="0"/>
              <w:tabs>
                <w:tab w:val="left" w:pos="1134"/>
              </w:tabs>
              <w:spacing w:before="120" w:after="120" w:line="288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Bước</w:t>
            </w:r>
            <w:proofErr w:type="spellEnd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3:</w:t>
            </w:r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g</w:t>
            </w:r>
            <w:r w:rsidRPr="00024E1B">
              <w:rPr>
                <w:rFonts w:ascii="Times New Roman" w:hAnsi="Times New Roman"/>
                <w:sz w:val="25"/>
                <w:szCs w:val="25"/>
              </w:rPr>
              <w:t>iám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sát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hồi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: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Căn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cứ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nội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dung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thông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báo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hồi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kế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hoạch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hồi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và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yêu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cầu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của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cơ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quan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có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thẩm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quyền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(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nếu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có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)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để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theo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dõi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giám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sát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hồi.</w:t>
            </w:r>
            <w:proofErr w:type="spellEnd"/>
          </w:p>
          <w:p w:rsidR="000D4E44" w:rsidRPr="00024E1B" w:rsidRDefault="00423637" w:rsidP="00024E1B">
            <w:pPr>
              <w:widowControl w:val="0"/>
              <w:tabs>
                <w:tab w:val="left" w:pos="1134"/>
              </w:tabs>
              <w:spacing w:before="120" w:after="120" w:line="288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Bước</w:t>
            </w:r>
            <w:proofErr w:type="spellEnd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4:</w:t>
            </w:r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Báo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cáo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hồi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: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Trong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vòng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03 (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ba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)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ngày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làm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sau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khi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hoàn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thành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hồi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sản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phẩm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tổ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chức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cá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nhân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chịu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trách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nhiệm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về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sản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phẩm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phải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báo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cáo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bằng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văn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bản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toàn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bộ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kết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quả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hồi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tới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cơ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quan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có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thẩm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quyền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theo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Mẫu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số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03 ban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hành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kèm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theo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Thông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tư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này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979" w:type="dxa"/>
            <w:shd w:val="clear" w:color="auto" w:fill="auto"/>
          </w:tcPr>
          <w:p w:rsidR="000D4E44" w:rsidRPr="00024E1B" w:rsidRDefault="000D4E44" w:rsidP="00024E1B">
            <w:pPr>
              <w:spacing w:before="120" w:after="120" w:line="288" w:lineRule="auto"/>
              <w:rPr>
                <w:rFonts w:ascii="Times New Roman" w:hAnsi="Times New Roman"/>
                <w:sz w:val="25"/>
                <w:szCs w:val="25"/>
                <w:lang w:val="vi-VN"/>
              </w:rPr>
            </w:pPr>
          </w:p>
        </w:tc>
      </w:tr>
      <w:tr w:rsidR="000D4E44" w:rsidRPr="00024E1B" w:rsidTr="00AF565A">
        <w:trPr>
          <w:trHeight w:val="1233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0D4E44" w:rsidRPr="00024E1B" w:rsidRDefault="000D4E44" w:rsidP="00024E1B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val="vi-VN"/>
              </w:rPr>
            </w:pPr>
            <w:r w:rsidRPr="00024E1B">
              <w:rPr>
                <w:rFonts w:ascii="Times New Roman" w:hAnsi="Times New Roman"/>
                <w:b/>
                <w:sz w:val="25"/>
                <w:szCs w:val="25"/>
                <w:lang w:val="vi-VN"/>
              </w:rPr>
              <w:lastRenderedPageBreak/>
              <w:t xml:space="preserve">4. </w:t>
            </w:r>
            <w:r w:rsidR="00423637" w:rsidRPr="00024E1B">
              <w:rPr>
                <w:rFonts w:ascii="Times New Roman" w:hAnsi="Times New Roman"/>
                <w:b/>
                <w:sz w:val="25"/>
                <w:szCs w:val="25"/>
                <w:lang w:val="vi-VN"/>
              </w:rPr>
              <w:t>Thu hồi</w:t>
            </w:r>
            <w:r w:rsidR="00423637"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423637" w:rsidRPr="00024E1B">
              <w:rPr>
                <w:rFonts w:ascii="Times New Roman" w:hAnsi="Times New Roman"/>
                <w:b/>
                <w:sz w:val="25"/>
                <w:szCs w:val="25"/>
              </w:rPr>
              <w:t>bắt</w:t>
            </w:r>
            <w:proofErr w:type="spellEnd"/>
            <w:r w:rsidR="00423637"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423637" w:rsidRPr="00024E1B">
              <w:rPr>
                <w:rFonts w:ascii="Times New Roman" w:hAnsi="Times New Roman"/>
                <w:b/>
                <w:sz w:val="25"/>
                <w:szCs w:val="25"/>
              </w:rPr>
              <w:t>buộc</w:t>
            </w:r>
            <w:proofErr w:type="spellEnd"/>
            <w:r w:rsidR="00423637"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="00423637" w:rsidRPr="00024E1B">
              <w:rPr>
                <w:rFonts w:ascii="Times New Roman" w:hAnsi="Times New Roman"/>
                <w:b/>
                <w:sz w:val="25"/>
                <w:szCs w:val="25"/>
              </w:rPr>
              <w:t>Điều</w:t>
            </w:r>
            <w:proofErr w:type="spellEnd"/>
            <w:r w:rsidR="00423637"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5)</w:t>
            </w:r>
          </w:p>
        </w:tc>
        <w:tc>
          <w:tcPr>
            <w:tcW w:w="9340" w:type="dxa"/>
            <w:shd w:val="clear" w:color="auto" w:fill="auto"/>
          </w:tcPr>
          <w:p w:rsidR="00423637" w:rsidRPr="00024E1B" w:rsidRDefault="00423637" w:rsidP="00024E1B">
            <w:pPr>
              <w:widowControl w:val="0"/>
              <w:spacing w:before="120" w:after="120" w:line="288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Cơ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quan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có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thẩm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quyền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ra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Quyết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định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hồi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và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thông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báo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Quyết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định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hồi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tới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tổ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chức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cá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nhân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chịu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trách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nhiệm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về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sản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phẩm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theo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Mẫu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số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04 ban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hành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kèm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theo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Thông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tư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này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. </w:t>
            </w:r>
          </w:p>
          <w:p w:rsidR="000D4E44" w:rsidRPr="00024E1B" w:rsidRDefault="00423637" w:rsidP="00024E1B">
            <w:pPr>
              <w:widowControl w:val="0"/>
              <w:spacing w:before="120" w:after="120" w:line="288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Tổ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chức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cá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nhân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chịu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trách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nhiệm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về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sản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phẩm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sau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khi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nhận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Quyết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định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hồi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từ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cơ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quan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có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thẩm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quyền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phải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thực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hiện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hồi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theo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quy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định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tại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Khoản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1, 3, 4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và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5,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Điều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4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của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Thông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tư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này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. </w:t>
            </w:r>
          </w:p>
        </w:tc>
        <w:tc>
          <w:tcPr>
            <w:tcW w:w="3979" w:type="dxa"/>
            <w:shd w:val="clear" w:color="auto" w:fill="auto"/>
          </w:tcPr>
          <w:p w:rsidR="000D4E44" w:rsidRPr="00024E1B" w:rsidRDefault="000D4E44" w:rsidP="00024E1B">
            <w:pPr>
              <w:spacing w:before="120" w:after="120" w:line="288" w:lineRule="auto"/>
              <w:rPr>
                <w:rFonts w:ascii="Times New Roman" w:hAnsi="Times New Roman"/>
                <w:sz w:val="25"/>
                <w:szCs w:val="25"/>
                <w:lang w:val="sv-SE"/>
              </w:rPr>
            </w:pPr>
          </w:p>
        </w:tc>
      </w:tr>
      <w:tr w:rsidR="00423637" w:rsidRPr="00024E1B" w:rsidTr="00AF565A">
        <w:trPr>
          <w:trHeight w:val="1233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423637" w:rsidRPr="00024E1B" w:rsidRDefault="00DC3B80" w:rsidP="00024E1B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val="vi-VN"/>
              </w:rPr>
            </w:pPr>
            <w:r w:rsidRPr="00024E1B">
              <w:rPr>
                <w:rFonts w:ascii="Times New Roman" w:hAnsi="Times New Roman"/>
                <w:b/>
                <w:sz w:val="25"/>
                <w:szCs w:val="25"/>
                <w:lang w:val="pt-BR"/>
              </w:rPr>
              <w:t xml:space="preserve">5. </w:t>
            </w:r>
            <w:r w:rsidR="00423637" w:rsidRPr="00024E1B">
              <w:rPr>
                <w:rFonts w:ascii="Times New Roman" w:hAnsi="Times New Roman"/>
                <w:b/>
                <w:sz w:val="25"/>
                <w:szCs w:val="25"/>
                <w:lang w:val="pt-BR"/>
              </w:rPr>
              <w:t xml:space="preserve">Xử lý sản phẩm thu hồi </w:t>
            </w:r>
            <w:r w:rsidR="00423637" w:rsidRPr="00024E1B">
              <w:rPr>
                <w:rFonts w:ascii="Times New Roman" w:hAnsi="Times New Roman"/>
                <w:b/>
                <w:sz w:val="25"/>
                <w:szCs w:val="25"/>
                <w:lang w:val="pt-BR"/>
              </w:rPr>
              <w:t xml:space="preserve">(Điều 6) </w:t>
            </w:r>
          </w:p>
        </w:tc>
        <w:tc>
          <w:tcPr>
            <w:tcW w:w="9340" w:type="dxa"/>
            <w:shd w:val="clear" w:color="auto" w:fill="auto"/>
          </w:tcPr>
          <w:p w:rsidR="00DC3B80" w:rsidRPr="00024E1B" w:rsidRDefault="00DC3B80" w:rsidP="00024E1B">
            <w:pPr>
              <w:spacing w:before="120" w:after="120" w:line="288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Các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phương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thức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bao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gồm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>:</w:t>
            </w:r>
          </w:p>
          <w:p w:rsidR="00423637" w:rsidRPr="00024E1B" w:rsidRDefault="00423637" w:rsidP="00024E1B">
            <w:pPr>
              <w:pStyle w:val="ListParagraph"/>
              <w:numPr>
                <w:ilvl w:val="0"/>
                <w:numId w:val="5"/>
              </w:numPr>
              <w:spacing w:before="120" w:after="120" w:line="288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Khắc</w:t>
            </w:r>
            <w:proofErr w:type="spellEnd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phục</w:t>
            </w:r>
            <w:proofErr w:type="spellEnd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lỗi</w:t>
            </w:r>
            <w:proofErr w:type="spellEnd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của</w:t>
            </w:r>
            <w:proofErr w:type="spellEnd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sản</w:t>
            </w:r>
            <w:proofErr w:type="spellEnd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phẩm</w:t>
            </w:r>
            <w:proofErr w:type="spellEnd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lỗi</w:t>
            </w:r>
            <w:proofErr w:type="spellEnd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ghi</w:t>
            </w:r>
            <w:proofErr w:type="spellEnd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/>
                <w:sz w:val="25"/>
                <w:szCs w:val="25"/>
              </w:rPr>
              <w:t>nhãn</w:t>
            </w:r>
            <w:proofErr w:type="spellEnd"/>
            <w:r w:rsidR="00DC3B80" w:rsidRPr="00024E1B">
              <w:rPr>
                <w:rFonts w:ascii="Times New Roman" w:hAnsi="Times New Roman"/>
                <w:b/>
                <w:sz w:val="25"/>
                <w:szCs w:val="25"/>
              </w:rPr>
              <w:t>:</w:t>
            </w:r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C3B80" w:rsidRPr="00024E1B">
              <w:rPr>
                <w:rFonts w:ascii="Times New Roman" w:hAnsi="Times New Roman"/>
                <w:sz w:val="25"/>
                <w:szCs w:val="25"/>
              </w:rPr>
              <w:t>đối</w:t>
            </w:r>
            <w:proofErr w:type="spellEnd"/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C3B80" w:rsidRPr="00024E1B">
              <w:rPr>
                <w:rFonts w:ascii="Times New Roman" w:hAnsi="Times New Roman"/>
                <w:sz w:val="25"/>
                <w:szCs w:val="25"/>
              </w:rPr>
              <w:t>với</w:t>
            </w:r>
            <w:proofErr w:type="spellEnd"/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C3B80" w:rsidRPr="00024E1B">
              <w:rPr>
                <w:rFonts w:ascii="Times New Roman" w:hAnsi="Times New Roman"/>
                <w:sz w:val="25"/>
                <w:szCs w:val="25"/>
              </w:rPr>
              <w:t>Các</w:t>
            </w:r>
            <w:proofErr w:type="spellEnd"/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C3B80" w:rsidRPr="00024E1B">
              <w:rPr>
                <w:rFonts w:ascii="Times New Roman" w:hAnsi="Times New Roman"/>
                <w:sz w:val="25"/>
                <w:szCs w:val="25"/>
              </w:rPr>
              <w:t>sản</w:t>
            </w:r>
            <w:proofErr w:type="spellEnd"/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C3B80" w:rsidRPr="00024E1B">
              <w:rPr>
                <w:rFonts w:ascii="Times New Roman" w:hAnsi="Times New Roman"/>
                <w:sz w:val="25"/>
                <w:szCs w:val="25"/>
              </w:rPr>
              <w:t>phẩm</w:t>
            </w:r>
            <w:proofErr w:type="spellEnd"/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vi </w:t>
            </w:r>
            <w:proofErr w:type="spellStart"/>
            <w:r w:rsidR="00DC3B80" w:rsidRPr="00024E1B">
              <w:rPr>
                <w:rFonts w:ascii="Times New Roman" w:hAnsi="Times New Roman"/>
                <w:sz w:val="25"/>
                <w:szCs w:val="25"/>
              </w:rPr>
              <w:t>phạm</w:t>
            </w:r>
            <w:proofErr w:type="spellEnd"/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C3B80" w:rsidRPr="00024E1B">
              <w:rPr>
                <w:rFonts w:ascii="Times New Roman" w:hAnsi="Times New Roman"/>
                <w:sz w:val="25"/>
                <w:szCs w:val="25"/>
              </w:rPr>
              <w:t>về</w:t>
            </w:r>
            <w:proofErr w:type="spellEnd"/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C3B80" w:rsidRPr="00024E1B">
              <w:rPr>
                <w:rFonts w:ascii="Times New Roman" w:hAnsi="Times New Roman"/>
                <w:sz w:val="25"/>
                <w:szCs w:val="25"/>
              </w:rPr>
              <w:t>chất</w:t>
            </w:r>
            <w:proofErr w:type="spellEnd"/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C3B80" w:rsidRPr="00024E1B">
              <w:rPr>
                <w:rFonts w:ascii="Times New Roman" w:hAnsi="Times New Roman"/>
                <w:sz w:val="25"/>
                <w:szCs w:val="25"/>
              </w:rPr>
              <w:t>lượng</w:t>
            </w:r>
            <w:proofErr w:type="spellEnd"/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C3B80" w:rsidRPr="00024E1B">
              <w:rPr>
                <w:rFonts w:ascii="Times New Roman" w:hAnsi="Times New Roman"/>
                <w:sz w:val="25"/>
                <w:szCs w:val="25"/>
              </w:rPr>
              <w:t>theo</w:t>
            </w:r>
            <w:proofErr w:type="spellEnd"/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C3B80" w:rsidRPr="00024E1B">
              <w:rPr>
                <w:rFonts w:ascii="Times New Roman" w:hAnsi="Times New Roman"/>
                <w:sz w:val="25"/>
                <w:szCs w:val="25"/>
              </w:rPr>
              <w:t>hồ</w:t>
            </w:r>
            <w:proofErr w:type="spellEnd"/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C3B80" w:rsidRPr="00024E1B">
              <w:rPr>
                <w:rFonts w:ascii="Times New Roman" w:hAnsi="Times New Roman"/>
                <w:sz w:val="25"/>
                <w:szCs w:val="25"/>
              </w:rPr>
              <w:t>sơ</w:t>
            </w:r>
            <w:proofErr w:type="spellEnd"/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C3B80" w:rsidRPr="00024E1B">
              <w:rPr>
                <w:rFonts w:ascii="Times New Roman" w:hAnsi="Times New Roman"/>
                <w:sz w:val="25"/>
                <w:szCs w:val="25"/>
              </w:rPr>
              <w:t>công</w:t>
            </w:r>
            <w:proofErr w:type="spellEnd"/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C3B80" w:rsidRPr="00024E1B">
              <w:rPr>
                <w:rFonts w:ascii="Times New Roman" w:hAnsi="Times New Roman"/>
                <w:sz w:val="25"/>
                <w:szCs w:val="25"/>
              </w:rPr>
              <w:t>bố</w:t>
            </w:r>
            <w:proofErr w:type="spellEnd"/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C3B80" w:rsidRPr="00024E1B">
              <w:rPr>
                <w:rFonts w:ascii="Times New Roman" w:hAnsi="Times New Roman"/>
                <w:sz w:val="25"/>
                <w:szCs w:val="25"/>
              </w:rPr>
              <w:t>không</w:t>
            </w:r>
            <w:proofErr w:type="spellEnd"/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C3B80" w:rsidRPr="00024E1B">
              <w:rPr>
                <w:rFonts w:ascii="Times New Roman" w:hAnsi="Times New Roman"/>
                <w:sz w:val="25"/>
                <w:szCs w:val="25"/>
              </w:rPr>
              <w:t>gây</w:t>
            </w:r>
            <w:proofErr w:type="spellEnd"/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C3B80" w:rsidRPr="00024E1B">
              <w:rPr>
                <w:rFonts w:ascii="Times New Roman" w:hAnsi="Times New Roman"/>
                <w:sz w:val="25"/>
                <w:szCs w:val="25"/>
              </w:rPr>
              <w:t>ảnh</w:t>
            </w:r>
            <w:proofErr w:type="spellEnd"/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C3B80" w:rsidRPr="00024E1B">
              <w:rPr>
                <w:rFonts w:ascii="Times New Roman" w:hAnsi="Times New Roman"/>
                <w:sz w:val="25"/>
                <w:szCs w:val="25"/>
              </w:rPr>
              <w:t>hưởng</w:t>
            </w:r>
            <w:proofErr w:type="spellEnd"/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C3B80" w:rsidRPr="00024E1B">
              <w:rPr>
                <w:rFonts w:ascii="Times New Roman" w:hAnsi="Times New Roman"/>
                <w:sz w:val="25"/>
                <w:szCs w:val="25"/>
              </w:rPr>
              <w:t>tới</w:t>
            </w:r>
            <w:proofErr w:type="spellEnd"/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C3B80" w:rsidRPr="00024E1B">
              <w:rPr>
                <w:rFonts w:ascii="Times New Roman" w:hAnsi="Times New Roman"/>
                <w:sz w:val="25"/>
                <w:szCs w:val="25"/>
              </w:rPr>
              <w:t>sức</w:t>
            </w:r>
            <w:proofErr w:type="spellEnd"/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C3B80" w:rsidRPr="00024E1B">
              <w:rPr>
                <w:rFonts w:ascii="Times New Roman" w:hAnsi="Times New Roman"/>
                <w:sz w:val="25"/>
                <w:szCs w:val="25"/>
              </w:rPr>
              <w:t>khỏe</w:t>
            </w:r>
            <w:proofErr w:type="spellEnd"/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C3B80" w:rsidRPr="00024E1B">
              <w:rPr>
                <w:rFonts w:ascii="Times New Roman" w:hAnsi="Times New Roman"/>
                <w:sz w:val="25"/>
                <w:szCs w:val="25"/>
              </w:rPr>
              <w:t>người</w:t>
            </w:r>
            <w:proofErr w:type="spellEnd"/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C3B80" w:rsidRPr="00024E1B">
              <w:rPr>
                <w:rFonts w:ascii="Times New Roman" w:hAnsi="Times New Roman"/>
                <w:sz w:val="25"/>
                <w:szCs w:val="25"/>
              </w:rPr>
              <w:t>tiêu</w:t>
            </w:r>
            <w:proofErr w:type="spellEnd"/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C3B80" w:rsidRPr="00024E1B">
              <w:rPr>
                <w:rFonts w:ascii="Times New Roman" w:hAnsi="Times New Roman"/>
                <w:sz w:val="25"/>
                <w:szCs w:val="25"/>
              </w:rPr>
              <w:t>dùng</w:t>
            </w:r>
            <w:proofErr w:type="spellEnd"/>
            <w:r w:rsidR="00DC3B80"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423637" w:rsidRPr="00024E1B" w:rsidRDefault="00423637" w:rsidP="00024E1B">
            <w:pPr>
              <w:pStyle w:val="ListParagraph"/>
              <w:numPr>
                <w:ilvl w:val="0"/>
                <w:numId w:val="5"/>
              </w:numPr>
              <w:spacing w:before="120" w:after="120" w:line="288" w:lineRule="auto"/>
              <w:jc w:val="both"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024E1B">
              <w:rPr>
                <w:rFonts w:ascii="Times New Roman" w:hAnsi="Times New Roman"/>
                <w:b/>
                <w:sz w:val="25"/>
                <w:szCs w:val="25"/>
                <w:lang w:val="pt-BR"/>
              </w:rPr>
              <w:t>Chuyển mục đích sử dụng</w:t>
            </w:r>
            <w:r w:rsidR="00DC3B80" w:rsidRPr="00024E1B">
              <w:rPr>
                <w:rFonts w:ascii="Times New Roman" w:hAnsi="Times New Roman"/>
                <w:b/>
                <w:sz w:val="25"/>
                <w:szCs w:val="25"/>
                <w:lang w:val="pt-BR"/>
              </w:rPr>
              <w:t>:</w:t>
            </w:r>
            <w:r w:rsidR="00024E1B">
              <w:rPr>
                <w:rFonts w:ascii="Times New Roman" w:hAnsi="Times New Roman"/>
                <w:sz w:val="25"/>
                <w:szCs w:val="25"/>
                <w:lang w:val="pt-BR"/>
              </w:rPr>
              <w:t xml:space="preserve"> </w:t>
            </w:r>
            <w:r w:rsidR="00024E1B" w:rsidRPr="00024E1B">
              <w:rPr>
                <w:rFonts w:ascii="Times New Roman" w:hAnsi="Times New Roman"/>
                <w:sz w:val="25"/>
                <w:szCs w:val="25"/>
                <w:lang w:val="pt-BR"/>
              </w:rPr>
              <w:t xml:space="preserve">sau khi có sự chấp thuận bằng văn bản của cơ quan quản lý chuyên ngành. </w:t>
            </w:r>
          </w:p>
          <w:p w:rsidR="00423637" w:rsidRPr="00024E1B" w:rsidRDefault="00423637" w:rsidP="00024E1B">
            <w:pPr>
              <w:pStyle w:val="ListParagraph"/>
              <w:numPr>
                <w:ilvl w:val="0"/>
                <w:numId w:val="5"/>
              </w:numPr>
              <w:spacing w:before="120" w:after="120" w:line="288" w:lineRule="auto"/>
              <w:jc w:val="both"/>
              <w:rPr>
                <w:rFonts w:ascii="Times New Roman" w:hAnsi="Times New Roman"/>
                <w:b/>
                <w:sz w:val="25"/>
                <w:szCs w:val="25"/>
                <w:lang w:val="pt-BR"/>
              </w:rPr>
            </w:pPr>
            <w:r w:rsidRPr="00024E1B">
              <w:rPr>
                <w:rFonts w:ascii="Times New Roman" w:hAnsi="Times New Roman"/>
                <w:b/>
                <w:sz w:val="25"/>
                <w:szCs w:val="25"/>
                <w:lang w:val="pt-BR"/>
              </w:rPr>
              <w:t>Tái xuất</w:t>
            </w:r>
          </w:p>
          <w:p w:rsidR="00423637" w:rsidRPr="00024E1B" w:rsidRDefault="00423637" w:rsidP="00024E1B">
            <w:pPr>
              <w:pStyle w:val="ListParagraph"/>
              <w:numPr>
                <w:ilvl w:val="0"/>
                <w:numId w:val="5"/>
              </w:numPr>
              <w:spacing w:before="120" w:after="120" w:line="288" w:lineRule="auto"/>
              <w:jc w:val="both"/>
              <w:rPr>
                <w:rFonts w:ascii="Times New Roman" w:hAnsi="Times New Roman"/>
                <w:b/>
                <w:bCs/>
                <w:spacing w:val="-6"/>
                <w:sz w:val="25"/>
                <w:szCs w:val="25"/>
              </w:rPr>
            </w:pPr>
            <w:r w:rsidRPr="00024E1B">
              <w:rPr>
                <w:rFonts w:ascii="Times New Roman" w:hAnsi="Times New Roman"/>
                <w:b/>
                <w:sz w:val="25"/>
                <w:szCs w:val="25"/>
                <w:lang w:val="pt-BR"/>
              </w:rPr>
              <w:t>Tiêu hủy</w:t>
            </w:r>
          </w:p>
          <w:p w:rsidR="00DC3B80" w:rsidRPr="00024E1B" w:rsidRDefault="00DC3B80" w:rsidP="00024E1B">
            <w:pPr>
              <w:spacing w:before="120" w:after="120" w:line="288" w:lineRule="auto"/>
              <w:jc w:val="both"/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</w:pPr>
            <w:proofErr w:type="spellStart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>Trình</w:t>
            </w:r>
            <w:proofErr w:type="spellEnd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>tự</w:t>
            </w:r>
            <w:proofErr w:type="spellEnd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 xml:space="preserve">, </w:t>
            </w:r>
            <w:proofErr w:type="spellStart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>thủ</w:t>
            </w:r>
            <w:proofErr w:type="spellEnd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>tục</w:t>
            </w:r>
            <w:proofErr w:type="spellEnd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>thực</w:t>
            </w:r>
            <w:proofErr w:type="spellEnd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>hiện</w:t>
            </w:r>
            <w:proofErr w:type="spellEnd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>vui</w:t>
            </w:r>
            <w:proofErr w:type="spellEnd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>lòng</w:t>
            </w:r>
            <w:proofErr w:type="spellEnd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>xem</w:t>
            </w:r>
            <w:proofErr w:type="spellEnd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>toàn</w:t>
            </w:r>
            <w:proofErr w:type="spellEnd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>văn</w:t>
            </w:r>
            <w:proofErr w:type="spellEnd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>dự</w:t>
            </w:r>
            <w:proofErr w:type="spellEnd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>thảo</w:t>
            </w:r>
            <w:proofErr w:type="spellEnd"/>
            <w:r w:rsidRPr="00024E1B">
              <w:rPr>
                <w:rFonts w:ascii="Times New Roman" w:hAnsi="Times New Roman"/>
                <w:b/>
                <w:bCs/>
                <w:i/>
                <w:spacing w:val="-6"/>
                <w:sz w:val="25"/>
                <w:szCs w:val="25"/>
              </w:rPr>
              <w:t>.</w:t>
            </w:r>
          </w:p>
        </w:tc>
        <w:tc>
          <w:tcPr>
            <w:tcW w:w="3979" w:type="dxa"/>
            <w:shd w:val="clear" w:color="auto" w:fill="auto"/>
          </w:tcPr>
          <w:p w:rsidR="00423637" w:rsidRPr="00024E1B" w:rsidRDefault="00423637" w:rsidP="00024E1B">
            <w:pPr>
              <w:spacing w:before="120" w:after="120" w:line="288" w:lineRule="auto"/>
              <w:rPr>
                <w:rFonts w:ascii="Times New Roman" w:hAnsi="Times New Roman"/>
                <w:sz w:val="25"/>
                <w:szCs w:val="25"/>
                <w:lang w:val="sv-SE"/>
              </w:rPr>
            </w:pPr>
          </w:p>
        </w:tc>
      </w:tr>
      <w:tr w:rsidR="00423637" w:rsidRPr="00024E1B" w:rsidTr="00024E1B">
        <w:trPr>
          <w:trHeight w:val="527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423637" w:rsidRPr="00024E1B" w:rsidRDefault="00DC3B80" w:rsidP="00024E1B">
            <w:pPr>
              <w:widowControl w:val="0"/>
              <w:spacing w:before="120" w:after="120" w:line="288" w:lineRule="auto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pt-BR"/>
              </w:rPr>
            </w:pPr>
            <w:r w:rsidRPr="00024E1B"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pt-BR"/>
              </w:rPr>
              <w:t xml:space="preserve">6. </w:t>
            </w:r>
            <w:r w:rsidR="00423637" w:rsidRPr="00024E1B"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pt-BR"/>
              </w:rPr>
              <w:t>Báo cáo sau xử lý sản phẩm thu hồi</w:t>
            </w:r>
            <w:r w:rsidR="00423637" w:rsidRPr="00024E1B"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pt-BR"/>
              </w:rPr>
              <w:t xml:space="preserve"> (Đièu 7)</w:t>
            </w:r>
          </w:p>
          <w:p w:rsidR="00423637" w:rsidRPr="00024E1B" w:rsidRDefault="00423637" w:rsidP="00024E1B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val="pt-BR"/>
              </w:rPr>
            </w:pPr>
          </w:p>
        </w:tc>
        <w:tc>
          <w:tcPr>
            <w:tcW w:w="9340" w:type="dxa"/>
            <w:shd w:val="clear" w:color="auto" w:fill="auto"/>
          </w:tcPr>
          <w:p w:rsidR="00423637" w:rsidRPr="00024E1B" w:rsidRDefault="00423637" w:rsidP="00024E1B">
            <w:pPr>
              <w:widowControl w:val="0"/>
              <w:spacing w:before="120" w:after="120" w:line="288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  <w:lang w:val="pt-BR"/>
              </w:rPr>
            </w:pPr>
            <w:r w:rsidRPr="00024E1B">
              <w:rPr>
                <w:rFonts w:ascii="Times New Roman" w:hAnsi="Times New Roman"/>
                <w:color w:val="000000" w:themeColor="text1"/>
                <w:sz w:val="25"/>
                <w:szCs w:val="25"/>
                <w:lang w:val="pt-BR"/>
              </w:rPr>
              <w:t xml:space="preserve">Đối với TH chuyển mục đích sử dụng, tái xuất, tiêu hủy: Trong </w:t>
            </w:r>
            <w:r w:rsidRPr="00024E1B">
              <w:rPr>
                <w:rFonts w:ascii="Times New Roman" w:hAnsi="Times New Roman"/>
                <w:color w:val="000000" w:themeColor="text1"/>
                <w:sz w:val="25"/>
                <w:szCs w:val="25"/>
                <w:lang w:val="pt-BR"/>
              </w:rPr>
              <w:t>thời hạn k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hông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quá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03 (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ba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)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ngày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làm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sau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khi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hoàn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thành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xử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lý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sản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phẩm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hồi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tổ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chức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cá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nhân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chịu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trách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nhiệm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về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sản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phẩm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phải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báo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cáo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bằng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văn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bản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về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việc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xử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lý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sản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phẩm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thu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hồi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với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cơ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quan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có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thẩm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quyền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theo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Mẫu</w:t>
            </w:r>
            <w:proofErr w:type="spellEnd"/>
            <w:r w:rsidRPr="00024E1B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số</w:t>
            </w:r>
            <w:proofErr w:type="spellEnd"/>
            <w:r w:rsidRPr="00024E1B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05 </w:t>
            </w:r>
            <w:r w:rsidRPr="00024E1B">
              <w:rPr>
                <w:rFonts w:ascii="Times New Roman" w:hAnsi="Times New Roman"/>
                <w:sz w:val="25"/>
                <w:szCs w:val="25"/>
              </w:rPr>
              <w:t xml:space="preserve">ban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hành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kèm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theo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Thông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tư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024E1B">
              <w:rPr>
                <w:rFonts w:ascii="Times New Roman" w:hAnsi="Times New Roman"/>
                <w:sz w:val="25"/>
                <w:szCs w:val="25"/>
              </w:rPr>
              <w:t>này</w:t>
            </w:r>
            <w:proofErr w:type="spellEnd"/>
            <w:r w:rsidRPr="00024E1B">
              <w:rPr>
                <w:rFonts w:ascii="Times New Roman" w:hAnsi="Times New Roman"/>
                <w:sz w:val="25"/>
                <w:szCs w:val="25"/>
              </w:rPr>
              <w:t xml:space="preserve">. </w:t>
            </w:r>
          </w:p>
        </w:tc>
        <w:tc>
          <w:tcPr>
            <w:tcW w:w="3979" w:type="dxa"/>
            <w:shd w:val="clear" w:color="auto" w:fill="auto"/>
          </w:tcPr>
          <w:p w:rsidR="00423637" w:rsidRPr="00024E1B" w:rsidRDefault="00423637" w:rsidP="00024E1B">
            <w:pPr>
              <w:spacing w:before="120" w:after="120" w:line="288" w:lineRule="auto"/>
              <w:rPr>
                <w:rFonts w:ascii="Times New Roman" w:hAnsi="Times New Roman"/>
                <w:sz w:val="25"/>
                <w:szCs w:val="25"/>
                <w:lang w:val="sv-SE"/>
              </w:rPr>
            </w:pPr>
          </w:p>
        </w:tc>
      </w:tr>
    </w:tbl>
    <w:p w:rsidR="000D4E44" w:rsidRPr="00024E1B" w:rsidRDefault="000D4E44" w:rsidP="00024E1B">
      <w:pPr>
        <w:spacing w:before="120" w:after="120" w:line="288" w:lineRule="auto"/>
        <w:rPr>
          <w:rFonts w:ascii="Times New Roman" w:hAnsi="Times New Roman"/>
          <w:sz w:val="25"/>
          <w:szCs w:val="25"/>
          <w:lang w:val="sv-SE"/>
        </w:rPr>
      </w:pPr>
      <w:bookmarkStart w:id="1" w:name="_GoBack"/>
      <w:bookmarkEnd w:id="1"/>
    </w:p>
    <w:p w:rsidR="00AB2A36" w:rsidRPr="00024E1B" w:rsidRDefault="00AB2A36" w:rsidP="00024E1B">
      <w:pPr>
        <w:spacing w:before="120" w:after="120" w:line="288" w:lineRule="auto"/>
        <w:rPr>
          <w:rFonts w:ascii="Times New Roman" w:hAnsi="Times New Roman"/>
          <w:sz w:val="25"/>
          <w:szCs w:val="25"/>
        </w:rPr>
      </w:pPr>
    </w:p>
    <w:sectPr w:rsidR="00AB2A36" w:rsidRPr="00024E1B" w:rsidSect="00C70701">
      <w:pgSz w:w="16839" w:h="11907" w:orient="landscape" w:code="9"/>
      <w:pgMar w:top="426" w:right="540" w:bottom="28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36D"/>
    <w:multiLevelType w:val="hybridMultilevel"/>
    <w:tmpl w:val="B6402D8A"/>
    <w:lvl w:ilvl="0" w:tplc="C81A432E">
      <w:start w:val="1"/>
      <w:numFmt w:val="decimal"/>
      <w:lvlText w:val="%1."/>
      <w:lvlJc w:val="left"/>
      <w:pPr>
        <w:ind w:left="1764" w:hanging="10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14698"/>
    <w:multiLevelType w:val="hybridMultilevel"/>
    <w:tmpl w:val="7C28830C"/>
    <w:lvl w:ilvl="0" w:tplc="14FEB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B469C4"/>
    <w:multiLevelType w:val="hybridMultilevel"/>
    <w:tmpl w:val="A72A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B32E1"/>
    <w:multiLevelType w:val="hybridMultilevel"/>
    <w:tmpl w:val="9750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C579A"/>
    <w:multiLevelType w:val="hybridMultilevel"/>
    <w:tmpl w:val="F0602CC8"/>
    <w:lvl w:ilvl="0" w:tplc="A092822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44"/>
    <w:rsid w:val="0000329D"/>
    <w:rsid w:val="00004A7C"/>
    <w:rsid w:val="00013B61"/>
    <w:rsid w:val="00024E1B"/>
    <w:rsid w:val="000345A0"/>
    <w:rsid w:val="00064834"/>
    <w:rsid w:val="00071E83"/>
    <w:rsid w:val="0007280B"/>
    <w:rsid w:val="0007607F"/>
    <w:rsid w:val="000941F5"/>
    <w:rsid w:val="000A1707"/>
    <w:rsid w:val="000B77B3"/>
    <w:rsid w:val="000D17B0"/>
    <w:rsid w:val="000D4E44"/>
    <w:rsid w:val="000E3EB3"/>
    <w:rsid w:val="001030E3"/>
    <w:rsid w:val="0011072B"/>
    <w:rsid w:val="001706C6"/>
    <w:rsid w:val="001935B2"/>
    <w:rsid w:val="001A1481"/>
    <w:rsid w:val="001A2D1F"/>
    <w:rsid w:val="001B227B"/>
    <w:rsid w:val="001C6E41"/>
    <w:rsid w:val="001C7E63"/>
    <w:rsid w:val="001D22DB"/>
    <w:rsid w:val="001D250C"/>
    <w:rsid w:val="001D2539"/>
    <w:rsid w:val="001E268F"/>
    <w:rsid w:val="001F05B0"/>
    <w:rsid w:val="001F63E3"/>
    <w:rsid w:val="001F66C2"/>
    <w:rsid w:val="0020238F"/>
    <w:rsid w:val="002122B5"/>
    <w:rsid w:val="002243C0"/>
    <w:rsid w:val="00225E31"/>
    <w:rsid w:val="0024275F"/>
    <w:rsid w:val="002776CF"/>
    <w:rsid w:val="002A2773"/>
    <w:rsid w:val="002B5567"/>
    <w:rsid w:val="002F013E"/>
    <w:rsid w:val="002F45FE"/>
    <w:rsid w:val="003130BA"/>
    <w:rsid w:val="00314C99"/>
    <w:rsid w:val="00331936"/>
    <w:rsid w:val="00334162"/>
    <w:rsid w:val="003413D2"/>
    <w:rsid w:val="003421BD"/>
    <w:rsid w:val="00342F71"/>
    <w:rsid w:val="003632F0"/>
    <w:rsid w:val="00366446"/>
    <w:rsid w:val="00374BF1"/>
    <w:rsid w:val="00395CF3"/>
    <w:rsid w:val="003A636E"/>
    <w:rsid w:val="003B36C4"/>
    <w:rsid w:val="003D3A3D"/>
    <w:rsid w:val="003D5AFC"/>
    <w:rsid w:val="003D7F02"/>
    <w:rsid w:val="003E1DB7"/>
    <w:rsid w:val="003E3BB5"/>
    <w:rsid w:val="003E7EBB"/>
    <w:rsid w:val="00404843"/>
    <w:rsid w:val="00415347"/>
    <w:rsid w:val="00416C13"/>
    <w:rsid w:val="00423637"/>
    <w:rsid w:val="0042497E"/>
    <w:rsid w:val="00425B88"/>
    <w:rsid w:val="00430FF9"/>
    <w:rsid w:val="00444BB7"/>
    <w:rsid w:val="00450F07"/>
    <w:rsid w:val="00465012"/>
    <w:rsid w:val="00485FFB"/>
    <w:rsid w:val="004968CA"/>
    <w:rsid w:val="004A7790"/>
    <w:rsid w:val="004B2135"/>
    <w:rsid w:val="004B34A4"/>
    <w:rsid w:val="004C162B"/>
    <w:rsid w:val="004D2825"/>
    <w:rsid w:val="004D3D3C"/>
    <w:rsid w:val="004E5968"/>
    <w:rsid w:val="004F37FD"/>
    <w:rsid w:val="005153D2"/>
    <w:rsid w:val="00537C4C"/>
    <w:rsid w:val="00581D8B"/>
    <w:rsid w:val="00585808"/>
    <w:rsid w:val="005A253F"/>
    <w:rsid w:val="005A5850"/>
    <w:rsid w:val="005B7EA4"/>
    <w:rsid w:val="005D434A"/>
    <w:rsid w:val="005D6572"/>
    <w:rsid w:val="0062643A"/>
    <w:rsid w:val="00630D97"/>
    <w:rsid w:val="00640D0C"/>
    <w:rsid w:val="0065719B"/>
    <w:rsid w:val="00683973"/>
    <w:rsid w:val="006860CC"/>
    <w:rsid w:val="00686E20"/>
    <w:rsid w:val="00690847"/>
    <w:rsid w:val="006A0E8E"/>
    <w:rsid w:val="006B22F6"/>
    <w:rsid w:val="006B756E"/>
    <w:rsid w:val="006C2907"/>
    <w:rsid w:val="00704FDF"/>
    <w:rsid w:val="00710F8C"/>
    <w:rsid w:val="0071700B"/>
    <w:rsid w:val="0073128A"/>
    <w:rsid w:val="00735C54"/>
    <w:rsid w:val="00744A21"/>
    <w:rsid w:val="00746BEE"/>
    <w:rsid w:val="007815CA"/>
    <w:rsid w:val="007960C6"/>
    <w:rsid w:val="007C56DA"/>
    <w:rsid w:val="007C7153"/>
    <w:rsid w:val="007D2587"/>
    <w:rsid w:val="007E0869"/>
    <w:rsid w:val="007E25D9"/>
    <w:rsid w:val="007F129B"/>
    <w:rsid w:val="00810101"/>
    <w:rsid w:val="00812D7D"/>
    <w:rsid w:val="0081496C"/>
    <w:rsid w:val="008269B1"/>
    <w:rsid w:val="00854DCA"/>
    <w:rsid w:val="00870056"/>
    <w:rsid w:val="00880005"/>
    <w:rsid w:val="008809B1"/>
    <w:rsid w:val="00880C44"/>
    <w:rsid w:val="00886272"/>
    <w:rsid w:val="008905EE"/>
    <w:rsid w:val="008A687D"/>
    <w:rsid w:val="008A6CC6"/>
    <w:rsid w:val="008B24EA"/>
    <w:rsid w:val="008B3802"/>
    <w:rsid w:val="008B6373"/>
    <w:rsid w:val="008F1CB1"/>
    <w:rsid w:val="008F289E"/>
    <w:rsid w:val="0090314D"/>
    <w:rsid w:val="009237D1"/>
    <w:rsid w:val="00923F8F"/>
    <w:rsid w:val="00957AB6"/>
    <w:rsid w:val="0096530F"/>
    <w:rsid w:val="009841D9"/>
    <w:rsid w:val="00986620"/>
    <w:rsid w:val="00991B34"/>
    <w:rsid w:val="00992EE5"/>
    <w:rsid w:val="009B5A22"/>
    <w:rsid w:val="009D493B"/>
    <w:rsid w:val="009D5F6D"/>
    <w:rsid w:val="009E37F3"/>
    <w:rsid w:val="009F077F"/>
    <w:rsid w:val="00A07600"/>
    <w:rsid w:val="00A12DAA"/>
    <w:rsid w:val="00A21DCD"/>
    <w:rsid w:val="00A4535D"/>
    <w:rsid w:val="00A641BC"/>
    <w:rsid w:val="00A65027"/>
    <w:rsid w:val="00A7636A"/>
    <w:rsid w:val="00A91F33"/>
    <w:rsid w:val="00AA6764"/>
    <w:rsid w:val="00AB2A36"/>
    <w:rsid w:val="00AD1688"/>
    <w:rsid w:val="00AF6F6B"/>
    <w:rsid w:val="00B130D7"/>
    <w:rsid w:val="00B22085"/>
    <w:rsid w:val="00B34428"/>
    <w:rsid w:val="00B36218"/>
    <w:rsid w:val="00B41AE3"/>
    <w:rsid w:val="00B448A0"/>
    <w:rsid w:val="00B91094"/>
    <w:rsid w:val="00B947B1"/>
    <w:rsid w:val="00B952F5"/>
    <w:rsid w:val="00B97701"/>
    <w:rsid w:val="00BA7F26"/>
    <w:rsid w:val="00BB4021"/>
    <w:rsid w:val="00BB62BA"/>
    <w:rsid w:val="00BE1781"/>
    <w:rsid w:val="00BF0BAF"/>
    <w:rsid w:val="00C101BD"/>
    <w:rsid w:val="00C233C4"/>
    <w:rsid w:val="00C23B52"/>
    <w:rsid w:val="00C30705"/>
    <w:rsid w:val="00C65E5B"/>
    <w:rsid w:val="00C72B0F"/>
    <w:rsid w:val="00C857ED"/>
    <w:rsid w:val="00C86474"/>
    <w:rsid w:val="00C92F00"/>
    <w:rsid w:val="00CA2F41"/>
    <w:rsid w:val="00CA3F88"/>
    <w:rsid w:val="00CB1C38"/>
    <w:rsid w:val="00CB3C8C"/>
    <w:rsid w:val="00CC00FD"/>
    <w:rsid w:val="00CC2545"/>
    <w:rsid w:val="00CC33C3"/>
    <w:rsid w:val="00CC7EAF"/>
    <w:rsid w:val="00CD5D6C"/>
    <w:rsid w:val="00CE41C0"/>
    <w:rsid w:val="00CE6322"/>
    <w:rsid w:val="00CE7CC7"/>
    <w:rsid w:val="00CF0398"/>
    <w:rsid w:val="00D131CB"/>
    <w:rsid w:val="00D256C2"/>
    <w:rsid w:val="00D25E7C"/>
    <w:rsid w:val="00D354A2"/>
    <w:rsid w:val="00D36BA2"/>
    <w:rsid w:val="00D46509"/>
    <w:rsid w:val="00DA5626"/>
    <w:rsid w:val="00DB452D"/>
    <w:rsid w:val="00DC3B80"/>
    <w:rsid w:val="00DE4E44"/>
    <w:rsid w:val="00DF1365"/>
    <w:rsid w:val="00DF2B99"/>
    <w:rsid w:val="00DF339F"/>
    <w:rsid w:val="00DF7C1C"/>
    <w:rsid w:val="00E04C82"/>
    <w:rsid w:val="00E05B91"/>
    <w:rsid w:val="00E1328D"/>
    <w:rsid w:val="00E24D65"/>
    <w:rsid w:val="00E36F7B"/>
    <w:rsid w:val="00E46AE1"/>
    <w:rsid w:val="00E5042E"/>
    <w:rsid w:val="00E61C86"/>
    <w:rsid w:val="00E62780"/>
    <w:rsid w:val="00E72B1B"/>
    <w:rsid w:val="00E85E7D"/>
    <w:rsid w:val="00E85EEF"/>
    <w:rsid w:val="00E86DFE"/>
    <w:rsid w:val="00EA0B8E"/>
    <w:rsid w:val="00EB7DE4"/>
    <w:rsid w:val="00EC703B"/>
    <w:rsid w:val="00ED2000"/>
    <w:rsid w:val="00EE35FA"/>
    <w:rsid w:val="00EF2747"/>
    <w:rsid w:val="00F01685"/>
    <w:rsid w:val="00F02F84"/>
    <w:rsid w:val="00F042C4"/>
    <w:rsid w:val="00F206AD"/>
    <w:rsid w:val="00F2144B"/>
    <w:rsid w:val="00F66FC4"/>
    <w:rsid w:val="00F85784"/>
    <w:rsid w:val="00FC3CF6"/>
    <w:rsid w:val="00FD0E17"/>
    <w:rsid w:val="00FD236D"/>
    <w:rsid w:val="00FD59FC"/>
    <w:rsid w:val="00FD5D85"/>
    <w:rsid w:val="00FE4453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May1</cp:lastModifiedBy>
  <cp:revision>1</cp:revision>
  <dcterms:created xsi:type="dcterms:W3CDTF">2016-02-26T10:19:00Z</dcterms:created>
  <dcterms:modified xsi:type="dcterms:W3CDTF">2016-02-26T11:07:00Z</dcterms:modified>
</cp:coreProperties>
</file>